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бухгалтерского учета</w:t>
            </w:r>
          </w:p>
          <w:p>
            <w:pPr>
              <w:jc w:val="center"/>
              <w:spacing w:after="0" w:line="240" w:lineRule="auto"/>
              <w:rPr>
                <w:sz w:val="32"/>
                <w:szCs w:val="32"/>
              </w:rPr>
            </w:pPr>
            <w:r>
              <w:rPr>
                <w:rFonts w:ascii="Times New Roman" w:hAnsi="Times New Roman" w:cs="Times New Roman"/>
                <w:color w:val="#000000"/>
                <w:sz w:val="32"/>
                <w:szCs w:val="32"/>
              </w:rPr>
              <w:t> Б1.В.02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бухгалтерского учета»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 «Основы бухгалтерского учета».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бухгалтерского учета»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консультировать по закупочным процедурам</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бухгалтерского учета в части применения к закупкам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проверять необходимую документацию для проведения закупочной процедуры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владеть навыками проверки необходимой документации для проведения закупочной процедуры</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 «Основы бухгалтерского учета»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 торговой отрасли</w:t>
            </w:r>
          </w:p>
          <w:p>
            <w:pPr>
              <w:jc w:val="center"/>
              <w:spacing w:after="0" w:line="240" w:lineRule="auto"/>
              <w:rPr>
                <w:sz w:val="22"/>
                <w:szCs w:val="22"/>
              </w:rPr>
            </w:pPr>
            <w:r>
              <w:rPr>
                <w:rFonts w:ascii="Times New Roman" w:hAnsi="Times New Roman" w:cs="Times New Roman"/>
                <w:color w:val="#000000"/>
                <w:sz w:val="22"/>
                <w:szCs w:val="22"/>
              </w:rPr>
              <w:t> Экономика торговой отрасли</w:t>
            </w:r>
          </w:p>
          <w:p>
            <w:pPr>
              <w:jc w:val="center"/>
              <w:spacing w:after="0" w:line="240" w:lineRule="auto"/>
              <w:rPr>
                <w:sz w:val="22"/>
                <w:szCs w:val="22"/>
              </w:rPr>
            </w:pPr>
            <w:r>
              <w:rPr>
                <w:rFonts w:ascii="Times New Roman" w:hAnsi="Times New Roman" w:cs="Times New Roman"/>
                <w:color w:val="#000000"/>
                <w:sz w:val="22"/>
                <w:szCs w:val="22"/>
              </w:rPr>
              <w:t> Статистика</w:t>
            </w:r>
          </w:p>
          <w:p>
            <w:pPr>
              <w:jc w:val="center"/>
              <w:spacing w:after="0" w:line="240" w:lineRule="auto"/>
              <w:rPr>
                <w:sz w:val="22"/>
                <w:szCs w:val="22"/>
              </w:rPr>
            </w:pPr>
            <w:r>
              <w:rPr>
                <w:rFonts w:ascii="Times New Roman" w:hAnsi="Times New Roman" w:cs="Times New Roman"/>
                <w:color w:val="#000000"/>
                <w:sz w:val="22"/>
                <w:szCs w:val="22"/>
              </w:rPr>
              <w:t> Экономика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Статистика</w:t>
            </w:r>
          </w:p>
          <w:p>
            <w:pPr>
              <w:jc w:val="center"/>
              <w:spacing w:after="0" w:line="240" w:lineRule="auto"/>
              <w:rPr>
                <w:sz w:val="22"/>
                <w:szCs w:val="22"/>
              </w:rPr>
            </w:pPr>
            <w:r>
              <w:rPr>
                <w:rFonts w:ascii="Times New Roman" w:hAnsi="Times New Roman" w:cs="Times New Roman"/>
                <w:color w:val="#000000"/>
                <w:sz w:val="22"/>
                <w:szCs w:val="22"/>
              </w:rPr>
              <w:t> Планирование и прогнозирование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(торгово- экономическая практика) 1</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(торгово- экономическая практика) 2</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(торгово- экономическая практика) 3</w:t>
            </w:r>
          </w:p>
          <w:p>
            <w:pPr>
              <w:jc w:val="center"/>
              <w:spacing w:after="0" w:line="240" w:lineRule="auto"/>
              <w:rPr>
                <w:sz w:val="22"/>
                <w:szCs w:val="22"/>
              </w:rPr>
            </w:pPr>
            <w:r>
              <w:rPr>
                <w:rFonts w:ascii="Times New Roman" w:hAnsi="Times New Roman" w:cs="Times New Roman"/>
                <w:color w:val="#000000"/>
                <w:sz w:val="22"/>
                <w:szCs w:val="22"/>
              </w:rPr>
              <w:t> Финансирование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Финансовый анализ (практикум)</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(торгово- технологическая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Бухгалтерский баланс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Счета и двойная 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Бухгалтерский баланс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Счета и двойная 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функции предмет и метод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Бухгалтерский баланс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Счета и двойная 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учета хозяйственных процессов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Обобщение учетной информации для составления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и нормативное регулирование бухгалтерского учета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876.3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Бухгалтерский баланс</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бухгалтерском балансе, его строение и содержание. Виды бухгалтерских балансов. Влияние хозяйственных операций на бухгалтерский баланс</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Счета и двойная запись</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счетах бухгалтерского учета, их строение и назначение. Счета синтетического и аналитического учета, их назначение и взаимосвязь. Понятие и сущность двойной записи на счетах. Обобщение данных текущего бухгалтерского учета. Классификация счетов бухгалтерского учета по экономическому содержанию. Классификация счетов бухгалтерского учета по структуре. План счетов бухгалтерского учета.</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Бухгалтерский баланс</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Счета и двойная запись</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бухгалтерского учета»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https://urait.ru/bcode/466092</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Лупикова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978-5-9916-8994-6.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https://urait.ru/bcode/452325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Шахматова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https://www.biblio-online.ru/bcode/437313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Банкаускене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Вещунова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Викторова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Долотова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Надежина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Неелова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Покровская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Викторовой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политехнический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Петра</w:t>
            </w:r>
            <w:r>
              <w:rPr/>
              <w:t xml:space="preserve"> </w:t>
            </w:r>
            <w:r>
              <w:rPr>
                <w:rFonts w:ascii="Times New Roman" w:hAnsi="Times New Roman" w:cs="Times New Roman"/>
                <w:color w:val="#000000"/>
                <w:sz w:val="24"/>
                <w:szCs w:val="24"/>
              </w:rPr>
              <w:t>Великого,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978-5-7422-6355-5.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http://www.iprbookshop.ru/83324.html</w:t>
            </w:r>
            <w:r>
              <w:rPr/>
              <w:t xml:space="preserve"> </w:t>
            </w:r>
          </w:p>
        </w:tc>
      </w:tr>
      <w:tr>
        <w:trPr>
          <w:trHeight w:hRule="exact" w:val="521.850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2023-2024_ФГОС3++2023_Бак-ЗФО-ТД(ОиУЗД)(23)_plx_Основы бухгалтерского учета</dc:title>
  <dc:creator>FastReport.NET</dc:creator>
</cp:coreProperties>
</file>